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5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新北市公立幼兒園教保服務人員以外之其他契約進用人員</w:t>
      </w:r>
      <w:bookmarkStart w:id="0" w:name="OLE_LINK1"/>
      <w:r>
        <w:rPr>
          <w:rFonts w:ascii="標楷體" w:hAnsi="標楷體" w:eastAsia="標楷體"/>
          <w:b/>
          <w:sz w:val="32"/>
          <w:szCs w:val="32"/>
        </w:rPr>
        <w:t>年終考核表</w:t>
      </w:r>
      <w:bookmarkEnd w:id="0"/>
    </w:p>
    <w:p>
      <w:pPr>
        <w:pStyle w:val="Style17"/>
        <w:spacing w:lineRule="exact" w:line="500"/>
        <w:jc w:val="center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（考核期間：   年   月   日至   年   月   日）</w:t>
      </w:r>
    </w:p>
    <w:tbl>
      <w:tblPr>
        <w:tblW w:w="10376" w:type="dxa"/>
        <w:jc w:val="left"/>
        <w:tblInd w:w="-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52"/>
        <w:gridCol w:w="2090"/>
        <w:gridCol w:w="643"/>
        <w:gridCol w:w="2323"/>
        <w:gridCol w:w="1503"/>
        <w:gridCol w:w="3165"/>
      </w:tblGrid>
      <w:tr>
        <w:trPr>
          <w:trHeight w:val="765" w:hRule="atLeast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薪資級別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rPr>
          <w:vanish/>
        </w:rPr>
      </w:pPr>
      <w:r>
        <w:rPr>
          <w:vanish/>
        </w:rPr>
      </w:r>
    </w:p>
    <w:tbl>
      <w:tblPr>
        <w:tblW w:w="10376" w:type="dxa"/>
        <w:jc w:val="left"/>
        <w:tblInd w:w="-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9"/>
        <w:gridCol w:w="659"/>
        <w:gridCol w:w="644"/>
        <w:gridCol w:w="644"/>
        <w:gridCol w:w="658"/>
        <w:gridCol w:w="644"/>
        <w:gridCol w:w="659"/>
        <w:gridCol w:w="585"/>
        <w:gridCol w:w="585"/>
        <w:gridCol w:w="600"/>
        <w:gridCol w:w="586"/>
        <w:gridCol w:w="585"/>
        <w:gridCol w:w="585"/>
        <w:gridCol w:w="586"/>
        <w:gridCol w:w="585"/>
        <w:gridCol w:w="586"/>
        <w:gridCol w:w="556"/>
      </w:tblGrid>
      <w:tr>
        <w:trPr/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獎懲統計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嘉獎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記功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記</w:t>
            </w:r>
          </w:p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大</w:t>
            </w:r>
          </w:p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功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申誡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記過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記</w:t>
            </w:r>
          </w:p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大</w:t>
            </w:r>
          </w:p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過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出勤統計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事假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病假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婚假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喪假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產假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延長病假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遲到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早退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曠職</w:t>
            </w:r>
          </w:p>
        </w:tc>
      </w:tr>
      <w:tr>
        <w:trPr>
          <w:trHeight w:val="681" w:hRule="atLeast"/>
        </w:trPr>
        <w:tc>
          <w:tcPr>
            <w:tcW w:w="62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</w:tbl>
    <w:p>
      <w:pPr>
        <w:pStyle w:val="Style17"/>
        <w:rPr>
          <w:vanish/>
        </w:rPr>
      </w:pPr>
      <w:r>
        <w:rPr>
          <w:vanish/>
        </w:rPr>
      </w:r>
    </w:p>
    <w:tbl>
      <w:tblPr>
        <w:tblW w:w="10386" w:type="dxa"/>
        <w:jc w:val="center"/>
        <w:tblInd w:w="0" w:type="dxa"/>
        <w:tblBorders>
          <w:top w:val="double" w:sz="4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93" w:type="dxa"/>
          <w:bottom w:w="85" w:type="dxa"/>
          <w:right w:w="108" w:type="dxa"/>
        </w:tblCellMar>
      </w:tblPr>
      <w:tblGrid>
        <w:gridCol w:w="663"/>
        <w:gridCol w:w="1322"/>
        <w:gridCol w:w="2221"/>
        <w:gridCol w:w="2540"/>
        <w:gridCol w:w="1639"/>
        <w:gridCol w:w="2001"/>
      </w:tblGrid>
      <w:tr>
        <w:trPr>
          <w:trHeight w:val="25" w:hRule="atLeast"/>
        </w:trPr>
        <w:tc>
          <w:tcPr>
            <w:tcW w:w="1985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32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考核項目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360" w:right="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考核內容</w:t>
            </w:r>
          </w:p>
        </w:tc>
        <w:tc>
          <w:tcPr>
            <w:tcW w:w="20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24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評分</w:t>
            </w:r>
          </w:p>
        </w:tc>
      </w:tr>
      <w:tr>
        <w:trPr>
          <w:trHeight w:val="811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32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工作成效</w:t>
            </w:r>
          </w:p>
          <w:p>
            <w:pPr>
              <w:pStyle w:val="Style17"/>
              <w:tabs>
                <w:tab w:val="clear" w:pos="480"/>
              </w:tabs>
              <w:spacing w:lineRule="exact" w:line="32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(40</w:t>
            </w:r>
            <w:r>
              <w:rPr>
                <w:rFonts w:ascii="標楷體" w:hAnsi="標楷體" w:eastAsia="標楷體"/>
              </w:rPr>
              <w:t>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numPr>
                <w:ilvl w:val="0"/>
                <w:numId w:val="1"/>
              </w:numPr>
              <w:snapToGrid w:val="false"/>
              <w:spacing w:lineRule="exact" w:line="3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有效規劃與執行本職內之業務，掌握工作品質與進度。</w:t>
            </w:r>
          </w:p>
          <w:p>
            <w:pPr>
              <w:pStyle w:val="Style17"/>
              <w:numPr>
                <w:ilvl w:val="0"/>
                <w:numId w:val="1"/>
              </w:numPr>
              <w:snapToGrid w:val="false"/>
              <w:spacing w:lineRule="exact" w:line="3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依限完成各項單位主管交辦工作，不推諉敷衍延遲。</w:t>
            </w:r>
          </w:p>
          <w:p>
            <w:pPr>
              <w:pStyle w:val="Style17"/>
              <w:snapToGrid w:val="false"/>
              <w:spacing w:lineRule="exact" w:line="3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、能提升自我工作效率並自我管理。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24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84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專業知能</w:t>
            </w:r>
          </w:p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(30</w:t>
            </w:r>
            <w:r>
              <w:rPr>
                <w:rFonts w:ascii="標楷體" w:hAnsi="標楷體" w:eastAsia="標楷體"/>
              </w:rPr>
              <w:t>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對本職專業熟稔了解，經驗及常識廣泛且豐富。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對職務內容持續檢討悉心研究、自我反省及增能，並能依結果適時自我調整服務態度。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積極參與職務內容相關之研習或規劃自我專業成長。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遵守職務內容相關之規定。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58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敬業及</w:t>
            </w:r>
          </w:p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團隊精神</w:t>
            </w:r>
          </w:p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(20</w:t>
            </w:r>
            <w:r>
              <w:rPr>
                <w:rFonts w:ascii="標楷體" w:hAnsi="標楷體" w:eastAsia="標楷體"/>
              </w:rPr>
              <w:t>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對自身職務均負責盡職。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工作態度認真主動積極，有熱忱。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能主動積極協助辦理幼兒園內相關事務。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與他人協調合作度高，對園務能切實配合。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1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出勤紀錄</w:t>
            </w:r>
          </w:p>
          <w:p>
            <w:pPr>
              <w:pStyle w:val="Style17"/>
              <w:tabs>
                <w:tab w:val="clear" w:pos="480"/>
              </w:tabs>
              <w:spacing w:lineRule="exact" w:line="320" w:before="72" w:after="0"/>
              <w:ind w:left="240" w:right="0" w:hanging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(10</w:t>
            </w:r>
            <w:r>
              <w:rPr>
                <w:rFonts w:ascii="標楷體" w:hAnsi="標楷體" w:eastAsia="標楷體"/>
              </w:rPr>
              <w:t>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spacing w:lineRule="exact" w:line="320" w:before="72" w:after="0"/>
              <w:ind w:left="240" w:right="0" w:hanging="240"/>
              <w:rPr>
                <w:rFonts w:ascii="標楷體" w:hAnsi="標楷體" w:eastAsia="標楷體"/>
              </w:rPr>
            </w:pPr>
            <w:bookmarkStart w:id="1" w:name="OLE_LINK25"/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上下班按時出勤，無遲到、早退或曠職情事。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spacing w:lineRule="exact" w:line="320" w:before="72" w:after="0"/>
              <w:ind w:left="240" w:right="0" w:hanging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能依規定完成請假手續。</w:t>
            </w:r>
            <w:bookmarkEnd w:id="1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72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0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7"/>
              <w:spacing w:lineRule="exact" w:line="40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個人重大具體優劣事蹟</w:t>
            </w:r>
          </w:p>
        </w:tc>
        <w:tc>
          <w:tcPr>
            <w:tcW w:w="8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01" w:hRule="atLeast"/>
        </w:trPr>
        <w:tc>
          <w:tcPr>
            <w:tcW w:w="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tabs>
                <w:tab w:val="clear" w:pos="480"/>
              </w:tabs>
              <w:spacing w:lineRule="auto" w:before="48" w:after="0"/>
              <w:ind w:left="294" w:right="0" w:hanging="294"/>
              <w:jc w:val="center"/>
              <w:rPr>
                <w:rFonts w:ascii="標楷體" w:hAnsi="標楷體"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color w:val="000000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auto" w:before="48" w:after="0"/>
              <w:ind w:left="294" w:right="0" w:hanging="294"/>
              <w:jc w:val="center"/>
              <w:rPr>
                <w:rFonts w:ascii="標楷體" w:hAnsi="標楷體"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color w:val="000000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auto" w:before="48" w:after="0"/>
              <w:ind w:left="294" w:right="0" w:hanging="294"/>
              <w:jc w:val="center"/>
              <w:rPr>
                <w:rFonts w:ascii="標楷體" w:hAnsi="標楷體"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  <w:t>總</w:t>
            </w:r>
          </w:p>
          <w:p>
            <w:pPr>
              <w:pStyle w:val="Style17"/>
              <w:tabs>
                <w:tab w:val="clear" w:pos="480"/>
              </w:tabs>
              <w:spacing w:lineRule="auto" w:before="48" w:after="0"/>
              <w:ind w:left="294" w:right="0" w:hanging="294"/>
              <w:jc w:val="center"/>
              <w:rPr>
                <w:rFonts w:ascii="標楷體" w:hAnsi="標楷體"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  <w:t>評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單位主管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初評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考核小組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初核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3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校長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  <w:color w:val="CE181E"/>
              </w:rPr>
              <w:t>園長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覆核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871" w:hRule="atLeast"/>
        </w:trPr>
        <w:tc>
          <w:tcPr>
            <w:tcW w:w="6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評</w:t>
            </w:r>
          </w:p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語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00" w:hRule="atLeast"/>
        </w:trPr>
        <w:tc>
          <w:tcPr>
            <w:tcW w:w="6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綜</w:t>
            </w:r>
          </w:p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合</w:t>
            </w:r>
          </w:p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評</w:t>
            </w:r>
          </w:p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986" w:hRule="atLeast"/>
        </w:trPr>
        <w:tc>
          <w:tcPr>
            <w:tcW w:w="6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等</w:t>
            </w:r>
          </w:p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第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126" w:hRule="atLeast"/>
        </w:trPr>
        <w:tc>
          <w:tcPr>
            <w:tcW w:w="6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yle17"/>
              <w:spacing w:lineRule="exact" w:line="240" w:before="48" w:after="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spacing w:lineRule="exact" w:line="320"/>
        <w:rPr>
          <w:rFonts w:ascii="標楷體" w:hAnsi="標楷體" w:eastAsia="標楷體"/>
          <w:sz w:val="22"/>
          <w:szCs w:val="22"/>
        </w:rPr>
      </w:pPr>
      <w:r>
        <w:rPr>
          <w:rFonts w:ascii="標楷體" w:hAnsi="標楷體" w:eastAsia="標楷體"/>
          <w:sz w:val="22"/>
          <w:szCs w:val="22"/>
        </w:rPr>
        <w:t>備註：</w:t>
      </w:r>
    </w:p>
    <w:p>
      <w:pPr>
        <w:pStyle w:val="Style17"/>
        <w:tabs>
          <w:tab w:val="clear" w:pos="480"/>
        </w:tabs>
        <w:ind w:left="220" w:right="0" w:hanging="220"/>
        <w:rPr>
          <w:rFonts w:ascii="標楷體" w:hAnsi="標楷體" w:eastAsia="標楷體"/>
          <w:sz w:val="22"/>
          <w:szCs w:val="22"/>
        </w:rPr>
      </w:pPr>
      <w:r>
        <w:rPr>
          <w:rFonts w:eastAsia="標楷體" w:ascii="標楷體" w:hAnsi="標楷體"/>
          <w:sz w:val="22"/>
          <w:szCs w:val="22"/>
        </w:rPr>
        <w:t>1.</w:t>
      </w:r>
      <w:r>
        <w:rPr>
          <w:rFonts w:ascii="標楷體" w:hAnsi="標楷體" w:eastAsia="標楷體"/>
          <w:sz w:val="22"/>
          <w:szCs w:val="22"/>
        </w:rPr>
        <w:t>單位主管及考核小組應對所屬職員覈實考評，事、病假日數之計算，應扣除請家庭照顧假、生理假及因安胎事由請假之日數。</w:t>
      </w:r>
    </w:p>
    <w:p>
      <w:pPr>
        <w:pStyle w:val="Style17"/>
        <w:spacing w:lineRule="exact" w:line="320"/>
        <w:jc w:val="both"/>
        <w:rPr>
          <w:rFonts w:ascii="標楷體" w:hAnsi="標楷體" w:eastAsia="標楷體"/>
          <w:sz w:val="22"/>
          <w:szCs w:val="22"/>
        </w:rPr>
      </w:pPr>
      <w:r>
        <w:rPr>
          <w:rFonts w:eastAsia="標楷體" w:ascii="標楷體" w:hAnsi="標楷體"/>
          <w:sz w:val="22"/>
          <w:szCs w:val="22"/>
        </w:rPr>
        <w:t>2.</w:t>
      </w:r>
      <w:r>
        <w:rPr>
          <w:rFonts w:ascii="標楷體" w:hAnsi="標楷體" w:eastAsia="標楷體"/>
          <w:sz w:val="22"/>
          <w:szCs w:val="22"/>
        </w:rPr>
        <w:t>填表說明：</w:t>
      </w:r>
    </w:p>
    <w:p>
      <w:pPr>
        <w:pStyle w:val="Style17"/>
        <w:spacing w:lineRule="exact" w:line="320"/>
        <w:jc w:val="both"/>
        <w:rPr>
          <w:rFonts w:ascii="標楷體" w:hAnsi="標楷體" w:eastAsia="標楷體"/>
          <w:sz w:val="22"/>
          <w:szCs w:val="22"/>
        </w:rPr>
      </w:pPr>
      <w:r>
        <w:rPr>
          <w:rFonts w:ascii="標楷體" w:hAnsi="標楷體" w:eastAsia="標楷體"/>
          <w:sz w:val="22"/>
          <w:szCs w:val="22"/>
        </w:rPr>
        <w:t>（</w:t>
      </w:r>
      <w:r>
        <w:rPr>
          <w:rFonts w:eastAsia="標楷體" w:ascii="標楷體" w:hAnsi="標楷體"/>
          <w:sz w:val="22"/>
          <w:szCs w:val="22"/>
        </w:rPr>
        <w:t>1</w:t>
      </w:r>
      <w:r>
        <w:rPr>
          <w:rFonts w:ascii="標楷體" w:hAnsi="標楷體" w:eastAsia="標楷體"/>
          <w:sz w:val="22"/>
          <w:szCs w:val="22"/>
        </w:rPr>
        <w:t>）「職稱、姓名、薪資級別」欄位由受考人填列。</w:t>
      </w:r>
    </w:p>
    <w:p>
      <w:pPr>
        <w:pStyle w:val="Style17"/>
        <w:spacing w:lineRule="exact" w:line="320"/>
        <w:jc w:val="both"/>
        <w:rPr>
          <w:rFonts w:ascii="標楷體" w:hAnsi="標楷體" w:eastAsia="標楷體"/>
          <w:sz w:val="22"/>
          <w:szCs w:val="22"/>
        </w:rPr>
      </w:pPr>
      <w:r>
        <w:rPr>
          <w:rFonts w:ascii="標楷體" w:hAnsi="標楷體" w:eastAsia="標楷體"/>
          <w:sz w:val="22"/>
          <w:szCs w:val="22"/>
        </w:rPr>
        <w:t xml:space="preserve"> </w:t>
      </w:r>
      <w:r>
        <w:rPr>
          <w:rFonts w:eastAsia="標楷體" w:ascii="標楷體" w:hAnsi="標楷體"/>
          <w:sz w:val="22"/>
          <w:szCs w:val="22"/>
        </w:rPr>
        <w:t>(2)</w:t>
      </w:r>
      <w:r>
        <w:rPr>
          <w:rFonts w:ascii="標楷體" w:hAnsi="標楷體" w:eastAsia="標楷體"/>
          <w:sz w:val="22"/>
          <w:szCs w:val="22"/>
        </w:rPr>
        <w:t>「出勤統計與獎懲」欄位由人事人員或單位主管填寫。</w:t>
      </w:r>
    </w:p>
    <w:p>
      <w:pPr>
        <w:pStyle w:val="Style17"/>
        <w:tabs>
          <w:tab w:val="clear" w:pos="480"/>
        </w:tabs>
        <w:spacing w:lineRule="exact" w:line="320"/>
        <w:ind w:left="495" w:right="0" w:hanging="495"/>
        <w:jc w:val="both"/>
        <w:rPr>
          <w:rFonts w:ascii="標楷體" w:hAnsi="標楷體" w:eastAsia="標楷體"/>
          <w:sz w:val="22"/>
          <w:szCs w:val="22"/>
        </w:rPr>
      </w:pPr>
      <w:r>
        <w:rPr>
          <w:rFonts w:ascii="標楷體" w:hAnsi="標楷體" w:eastAsia="標楷體"/>
          <w:sz w:val="22"/>
          <w:szCs w:val="22"/>
        </w:rPr>
        <w:t>（</w:t>
      </w:r>
      <w:r>
        <w:rPr>
          <w:rFonts w:eastAsia="標楷體" w:ascii="標楷體" w:hAnsi="標楷體"/>
          <w:sz w:val="22"/>
          <w:szCs w:val="22"/>
        </w:rPr>
        <w:t>3</w:t>
      </w:r>
      <w:r>
        <w:rPr>
          <w:rFonts w:ascii="標楷體" w:hAnsi="標楷體" w:eastAsia="標楷體"/>
          <w:sz w:val="22"/>
          <w:szCs w:val="22"/>
        </w:rPr>
        <w:t>）「考核評分、</w:t>
      </w:r>
      <w:r>
        <w:rPr>
          <w:rFonts w:ascii="標楷體" w:hAnsi="標楷體" w:eastAsia="標楷體"/>
          <w:color w:val="000000"/>
          <w:sz w:val="22"/>
          <w:szCs w:val="22"/>
        </w:rPr>
        <w:t>個人重大具體優劣事蹟、總評評語、綜合評分及等第」欄位由幼兒園單位主管擬評並簽章，再送考核小組完成初核後；各市立幼兒園應報園長覆核，公立學校附設幼兒園應報學校校長覆核。</w:t>
      </w:r>
    </w:p>
    <w:p>
      <w:pPr>
        <w:pStyle w:val="Style17"/>
        <w:tabs>
          <w:tab w:val="clear" w:pos="480"/>
        </w:tabs>
        <w:spacing w:lineRule="exact" w:line="320"/>
        <w:ind w:left="495" w:right="0" w:hanging="495"/>
        <w:jc w:val="both"/>
        <w:rPr/>
      </w:pP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（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4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）平時獎懲情形得納入評分參考依據。</w:t>
      </w:r>
    </w:p>
    <w:p>
      <w:pPr>
        <w:pStyle w:val="Style17"/>
        <w:tabs>
          <w:tab w:val="clear" w:pos="480"/>
        </w:tabs>
        <w:spacing w:lineRule="exact" w:line="320"/>
        <w:ind w:left="220" w:right="0" w:hanging="22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eastAsia="標楷體" w:ascii="標楷體" w:hAnsi="標楷體"/>
          <w:color w:val="000000"/>
          <w:sz w:val="22"/>
          <w:szCs w:val="22"/>
        </w:rPr>
        <w:t>3.</w:t>
      </w:r>
      <w:r>
        <w:rPr>
          <w:rFonts w:ascii="標楷體" w:hAnsi="標楷體" w:eastAsia="標楷體"/>
          <w:color w:val="000000"/>
          <w:sz w:val="22"/>
          <w:szCs w:val="22"/>
        </w:rPr>
        <w:t>契約進用人員有公立幼兒園契約進用人員之進用考核及待遇辦法第</w:t>
      </w:r>
      <w:r>
        <w:rPr>
          <w:rFonts w:eastAsia="標楷體" w:ascii="標楷體" w:hAnsi="標楷體"/>
          <w:color w:val="000000"/>
          <w:sz w:val="22"/>
          <w:szCs w:val="22"/>
        </w:rPr>
        <w:t>17</w:t>
      </w:r>
      <w:r>
        <w:rPr>
          <w:rFonts w:ascii="標楷體" w:hAnsi="標楷體" w:eastAsia="標楷體"/>
          <w:color w:val="000000"/>
          <w:sz w:val="22"/>
          <w:szCs w:val="22"/>
        </w:rPr>
        <w:t>條所定情形時，年終考核不得考列甲等。</w:t>
      </w:r>
    </w:p>
    <w:p>
      <w:pPr>
        <w:pStyle w:val="Style17"/>
        <w:tabs>
          <w:tab w:val="clear" w:pos="480"/>
        </w:tabs>
        <w:spacing w:lineRule="exact" w:line="320"/>
        <w:ind w:left="220" w:right="0" w:hanging="22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eastAsia="標楷體" w:ascii="標楷體" w:hAnsi="標楷體"/>
          <w:color w:val="000000"/>
          <w:sz w:val="22"/>
          <w:szCs w:val="22"/>
        </w:rPr>
        <w:t>4.</w:t>
      </w:r>
      <w:r>
        <w:rPr>
          <w:rFonts w:ascii="標楷體" w:hAnsi="標楷體" w:eastAsia="標楷體"/>
          <w:color w:val="000000"/>
          <w:sz w:val="22"/>
          <w:szCs w:val="22"/>
        </w:rPr>
        <w:t>受考人如有重大具體優劣事蹟，足資記錄者，應填列於「個人重大優劣事蹟」欄，以作為考評之重要參據。依各相關法令略述如下：</w:t>
      </w:r>
    </w:p>
    <w:p>
      <w:pPr>
        <w:pStyle w:val="Style17"/>
        <w:numPr>
          <w:ilvl w:val="0"/>
          <w:numId w:val="2"/>
        </w:numPr>
        <w:tabs>
          <w:tab w:val="clear" w:pos="480"/>
        </w:tabs>
        <w:spacing w:lineRule="exact" w:line="320"/>
        <w:ind w:left="360" w:right="0" w:hanging="18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ascii="標楷體" w:hAnsi="標楷體" w:eastAsia="標楷體"/>
          <w:color w:val="000000"/>
          <w:sz w:val="22"/>
          <w:szCs w:val="22"/>
        </w:rPr>
        <w:t>公立幼兒園契約進用人員之進用考核及待遇辦法第</w:t>
      </w:r>
      <w:r>
        <w:rPr>
          <w:rFonts w:eastAsia="標楷體" w:ascii="標楷體" w:hAnsi="標楷體"/>
          <w:color w:val="000000"/>
          <w:sz w:val="22"/>
          <w:szCs w:val="22"/>
        </w:rPr>
        <w:t>17</w:t>
      </w:r>
      <w:r>
        <w:rPr>
          <w:rFonts w:ascii="標楷體" w:hAnsi="標楷體" w:eastAsia="標楷體"/>
          <w:color w:val="000000"/>
          <w:sz w:val="22"/>
          <w:szCs w:val="22"/>
        </w:rPr>
        <w:t>條之情事。</w:t>
      </w:r>
      <w:r>
        <w:rPr>
          <w:rFonts w:eastAsia="標楷體" w:ascii="標楷體" w:hAnsi="標楷體"/>
          <w:color w:val="000000"/>
          <w:sz w:val="22"/>
          <w:szCs w:val="22"/>
        </w:rPr>
        <w:t>(</w:t>
      </w:r>
      <w:r>
        <w:rPr>
          <w:rFonts w:ascii="標楷體" w:hAnsi="標楷體" w:eastAsia="標楷體"/>
          <w:color w:val="000000"/>
          <w:sz w:val="22"/>
          <w:szCs w:val="22"/>
        </w:rPr>
        <w:t>年終不得列甲等</w:t>
      </w:r>
      <w:r>
        <w:rPr>
          <w:rFonts w:eastAsia="標楷體" w:ascii="標楷體" w:hAnsi="標楷體"/>
          <w:color w:val="000000"/>
          <w:sz w:val="22"/>
          <w:szCs w:val="22"/>
        </w:rPr>
        <w:t>)</w:t>
      </w:r>
    </w:p>
    <w:p>
      <w:pPr>
        <w:pStyle w:val="Style17"/>
        <w:numPr>
          <w:ilvl w:val="0"/>
          <w:numId w:val="2"/>
        </w:numPr>
        <w:tabs>
          <w:tab w:val="clear" w:pos="480"/>
        </w:tabs>
        <w:spacing w:lineRule="exact" w:line="320"/>
        <w:ind w:left="360" w:right="0" w:hanging="18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ascii="標楷體" w:hAnsi="標楷體" w:eastAsia="標楷體"/>
          <w:color w:val="000000"/>
          <w:sz w:val="22"/>
          <w:szCs w:val="22"/>
        </w:rPr>
        <w:t>勞動基準法第</w:t>
      </w:r>
      <w:r>
        <w:rPr>
          <w:rFonts w:eastAsia="標楷體" w:ascii="標楷體" w:hAnsi="標楷體"/>
          <w:color w:val="000000"/>
          <w:sz w:val="22"/>
          <w:szCs w:val="22"/>
        </w:rPr>
        <w:t>12</w:t>
      </w:r>
      <w:r>
        <w:rPr>
          <w:rFonts w:ascii="標楷體" w:hAnsi="標楷體" w:eastAsia="標楷體"/>
          <w:color w:val="000000"/>
          <w:sz w:val="22"/>
          <w:szCs w:val="22"/>
        </w:rPr>
        <w:t>條第</w:t>
      </w:r>
      <w:r>
        <w:rPr>
          <w:rFonts w:eastAsia="標楷體" w:ascii="標楷體" w:hAnsi="標楷體"/>
          <w:color w:val="000000"/>
          <w:sz w:val="22"/>
          <w:szCs w:val="22"/>
        </w:rPr>
        <w:t>1</w:t>
      </w:r>
      <w:r>
        <w:rPr>
          <w:rFonts w:ascii="標楷體" w:hAnsi="標楷體" w:eastAsia="標楷體"/>
          <w:color w:val="000000"/>
          <w:sz w:val="22"/>
          <w:szCs w:val="22"/>
        </w:rPr>
        <w:t>項之情事。</w:t>
      </w:r>
      <w:r>
        <w:rPr>
          <w:rFonts w:eastAsia="標楷體" w:ascii="標楷體" w:hAnsi="標楷體"/>
          <w:color w:val="000000"/>
          <w:sz w:val="22"/>
          <w:szCs w:val="22"/>
        </w:rPr>
        <w:t>(</w:t>
      </w:r>
      <w:r>
        <w:rPr>
          <w:rFonts w:ascii="標楷體" w:hAnsi="標楷體" w:eastAsia="標楷體"/>
          <w:color w:val="000000"/>
          <w:sz w:val="22"/>
          <w:szCs w:val="22"/>
        </w:rPr>
        <w:t>得終止契約</w:t>
      </w:r>
      <w:r>
        <w:rPr>
          <w:rFonts w:eastAsia="標楷體" w:ascii="標楷體" w:hAnsi="標楷體"/>
          <w:color w:val="000000"/>
          <w:sz w:val="22"/>
          <w:szCs w:val="22"/>
        </w:rPr>
        <w:t>)</w:t>
      </w:r>
    </w:p>
    <w:p>
      <w:pPr>
        <w:pStyle w:val="Style17"/>
        <w:numPr>
          <w:ilvl w:val="0"/>
          <w:numId w:val="2"/>
        </w:numPr>
        <w:tabs>
          <w:tab w:val="clear" w:pos="480"/>
        </w:tabs>
        <w:spacing w:lineRule="exact" w:line="320"/>
        <w:ind w:left="360" w:right="0" w:hanging="180"/>
        <w:rPr>
          <w:rFonts w:ascii="標楷體" w:hAnsi="標楷體" w:eastAsia="標楷體"/>
          <w:color w:val="000000"/>
          <w:sz w:val="22"/>
          <w:szCs w:val="22"/>
        </w:rPr>
      </w:pPr>
      <w:bookmarkStart w:id="2" w:name="_Hlk62460557"/>
      <w:r>
        <w:rPr>
          <w:rFonts w:ascii="標楷體" w:hAnsi="標楷體" w:eastAsia="標楷體"/>
          <w:color w:val="000000"/>
          <w:sz w:val="22"/>
          <w:szCs w:val="22"/>
        </w:rPr>
        <w:t>有無違反幼兒教保及照顧服務實施準則。</w:t>
      </w:r>
      <w:bookmarkEnd w:id="2"/>
    </w:p>
    <w:p>
      <w:pPr>
        <w:pStyle w:val="Style17"/>
        <w:numPr>
          <w:ilvl w:val="0"/>
          <w:numId w:val="2"/>
        </w:numPr>
        <w:tabs>
          <w:tab w:val="clear" w:pos="480"/>
        </w:tabs>
        <w:spacing w:lineRule="exact" w:line="320"/>
        <w:ind w:left="360" w:right="0" w:hanging="18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ascii="標楷體" w:hAnsi="標楷體" w:eastAsia="標楷體"/>
          <w:color w:val="000000"/>
          <w:sz w:val="22"/>
          <w:szCs w:val="22"/>
        </w:rPr>
        <w:t>受任何刑事、懲戒或行政處分。</w:t>
      </w:r>
    </w:p>
    <w:p>
      <w:pPr>
        <w:pStyle w:val="Style17"/>
        <w:tabs>
          <w:tab w:val="clear" w:pos="480"/>
        </w:tabs>
        <w:spacing w:lineRule="exact" w:line="320"/>
        <w:ind w:left="220" w:right="0" w:hanging="22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eastAsia="標楷體" w:ascii="標楷體" w:hAnsi="標楷體"/>
          <w:color w:val="000000"/>
          <w:sz w:val="22"/>
          <w:szCs w:val="22"/>
        </w:rPr>
        <w:t>5.</w:t>
      </w:r>
      <w:r>
        <w:rPr>
          <w:rFonts w:ascii="標楷體" w:hAnsi="標楷體" w:eastAsia="標楷體"/>
          <w:color w:val="000000"/>
          <w:sz w:val="22"/>
          <w:szCs w:val="22"/>
        </w:rPr>
        <w:t>依公立幼兒園契約進用人員之進用考核及待遇辦法第</w:t>
      </w:r>
      <w:r>
        <w:rPr>
          <w:rFonts w:eastAsia="標楷體" w:ascii="標楷體" w:hAnsi="標楷體"/>
          <w:color w:val="000000"/>
          <w:sz w:val="22"/>
          <w:szCs w:val="22"/>
        </w:rPr>
        <w:t>16</w:t>
      </w:r>
      <w:r>
        <w:rPr>
          <w:rFonts w:ascii="標楷體" w:hAnsi="標楷體" w:eastAsia="標楷體"/>
          <w:color w:val="000000"/>
          <w:sz w:val="22"/>
          <w:szCs w:val="22"/>
        </w:rPr>
        <w:t>條第</w:t>
      </w:r>
      <w:r>
        <w:rPr>
          <w:rFonts w:eastAsia="標楷體" w:ascii="標楷體" w:hAnsi="標楷體"/>
          <w:color w:val="000000"/>
          <w:sz w:val="22"/>
          <w:szCs w:val="22"/>
        </w:rPr>
        <w:t>2</w:t>
      </w:r>
      <w:r>
        <w:rPr>
          <w:rFonts w:ascii="標楷體" w:hAnsi="標楷體" w:eastAsia="標楷體"/>
          <w:color w:val="000000"/>
          <w:sz w:val="22"/>
          <w:szCs w:val="22"/>
        </w:rPr>
        <w:t>項規定，年終考核之分數與等第關係如下：</w:t>
      </w:r>
    </w:p>
    <w:p>
      <w:pPr>
        <w:pStyle w:val="Style17"/>
        <w:spacing w:lineRule="exact" w:line="320"/>
        <w:jc w:val="both"/>
        <w:rPr/>
      </w:pPr>
      <w:r>
        <w:rPr>
          <w:rStyle w:val="Style14"/>
          <w:rFonts w:ascii="標楷體" w:hAnsi="標楷體" w:eastAsia="標楷體"/>
          <w:color w:val="000000"/>
          <w:sz w:val="22"/>
          <w:szCs w:val="22"/>
        </w:rPr>
        <w:t xml:space="preserve"> 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(1)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甲等</w:t>
      </w:r>
      <w:r>
        <w:rPr>
          <w:rStyle w:val="Style14"/>
          <w:rFonts w:ascii="新細明體" w:hAnsi="新細明體"/>
          <w:color w:val="000000"/>
          <w:sz w:val="22"/>
          <w:szCs w:val="22"/>
        </w:rPr>
        <w:t>：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80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分以上。</w:t>
      </w:r>
    </w:p>
    <w:p>
      <w:pPr>
        <w:pStyle w:val="Style17"/>
        <w:spacing w:lineRule="exact" w:line="320"/>
        <w:jc w:val="both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ascii="標楷體" w:hAnsi="標楷體" w:eastAsia="標楷體"/>
          <w:color w:val="000000"/>
          <w:sz w:val="22"/>
          <w:szCs w:val="22"/>
        </w:rPr>
        <w:t xml:space="preserve"> </w:t>
      </w:r>
      <w:r>
        <w:rPr>
          <w:rFonts w:eastAsia="標楷體" w:ascii="標楷體" w:hAnsi="標楷體"/>
          <w:color w:val="000000"/>
          <w:sz w:val="22"/>
          <w:szCs w:val="22"/>
        </w:rPr>
        <w:t>(2)</w:t>
      </w:r>
      <w:r>
        <w:rPr>
          <w:rFonts w:ascii="標楷體" w:hAnsi="標楷體" w:eastAsia="標楷體"/>
          <w:color w:val="000000"/>
          <w:sz w:val="22"/>
          <w:szCs w:val="22"/>
        </w:rPr>
        <w:t>乙等：</w:t>
      </w:r>
      <w:r>
        <w:rPr>
          <w:rFonts w:eastAsia="標楷體" w:ascii="標楷體" w:hAnsi="標楷體"/>
          <w:color w:val="000000"/>
          <w:sz w:val="22"/>
          <w:szCs w:val="22"/>
        </w:rPr>
        <w:t>70</w:t>
      </w:r>
      <w:r>
        <w:rPr>
          <w:rFonts w:ascii="標楷體" w:hAnsi="標楷體" w:eastAsia="標楷體"/>
          <w:color w:val="000000"/>
          <w:sz w:val="22"/>
          <w:szCs w:val="22"/>
        </w:rPr>
        <w:t>分以上，未滿</w:t>
      </w:r>
      <w:r>
        <w:rPr>
          <w:rFonts w:eastAsia="標楷體" w:ascii="標楷體" w:hAnsi="標楷體"/>
          <w:color w:val="000000"/>
          <w:sz w:val="22"/>
          <w:szCs w:val="22"/>
        </w:rPr>
        <w:t>80</w:t>
      </w:r>
      <w:r>
        <w:rPr>
          <w:rFonts w:ascii="標楷體" w:hAnsi="標楷體" w:eastAsia="標楷體"/>
          <w:color w:val="000000"/>
          <w:sz w:val="22"/>
          <w:szCs w:val="22"/>
        </w:rPr>
        <w:t>分。</w:t>
      </w:r>
    </w:p>
    <w:p>
      <w:pPr>
        <w:pStyle w:val="Style17"/>
        <w:spacing w:lineRule="exact" w:line="320"/>
        <w:jc w:val="both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ascii="標楷體" w:hAnsi="標楷體" w:eastAsia="標楷體"/>
          <w:color w:val="000000"/>
          <w:sz w:val="22"/>
          <w:szCs w:val="22"/>
        </w:rPr>
        <w:t xml:space="preserve"> </w:t>
      </w:r>
      <w:r>
        <w:rPr>
          <w:rFonts w:eastAsia="標楷體" w:ascii="標楷體" w:hAnsi="標楷體"/>
          <w:color w:val="000000"/>
          <w:sz w:val="22"/>
          <w:szCs w:val="22"/>
        </w:rPr>
        <w:t>(3)</w:t>
      </w:r>
      <w:r>
        <w:rPr>
          <w:rFonts w:ascii="標楷體" w:hAnsi="標楷體" w:eastAsia="標楷體"/>
          <w:color w:val="000000"/>
          <w:sz w:val="22"/>
          <w:szCs w:val="22"/>
        </w:rPr>
        <w:t>丙等：未滿</w:t>
      </w:r>
      <w:r>
        <w:rPr>
          <w:rFonts w:eastAsia="標楷體" w:ascii="標楷體" w:hAnsi="標楷體"/>
          <w:color w:val="000000"/>
          <w:sz w:val="22"/>
          <w:szCs w:val="22"/>
        </w:rPr>
        <w:t>70</w:t>
      </w:r>
      <w:r>
        <w:rPr>
          <w:rFonts w:ascii="標楷體" w:hAnsi="標楷體" w:eastAsia="標楷體"/>
          <w:color w:val="000000"/>
          <w:sz w:val="22"/>
          <w:szCs w:val="22"/>
        </w:rPr>
        <w:t>分。</w:t>
      </w:r>
    </w:p>
    <w:p>
      <w:pPr>
        <w:pStyle w:val="Style17"/>
        <w:tabs>
          <w:tab w:val="clear" w:pos="480"/>
        </w:tabs>
        <w:spacing w:lineRule="exact" w:line="320"/>
        <w:ind w:left="220" w:right="0" w:hanging="220"/>
        <w:rPr/>
      </w:pP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6.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請於每年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7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月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31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日</w:t>
      </w:r>
      <w:r>
        <w:rPr>
          <w:rStyle w:val="Style14"/>
          <w:rFonts w:ascii="標楷體" w:hAnsi="標楷體" w:eastAsia="標楷體"/>
          <w:b/>
          <w:color w:val="000000"/>
          <w:sz w:val="22"/>
          <w:szCs w:val="22"/>
        </w:rPr>
        <w:t>前完成年終工作考核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，並於次月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10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日前，將年終考核紀錄表送會考核小組初核，經考核小組初核後</w:t>
      </w:r>
      <w:r>
        <w:rPr>
          <w:rStyle w:val="Style14"/>
          <w:rFonts w:ascii="標楷體" w:hAnsi="標楷體" w:eastAsia="標楷體"/>
          <w:b/>
          <w:color w:val="000000"/>
          <w:sz w:val="22"/>
          <w:szCs w:val="22"/>
        </w:rPr>
        <w:t>密陳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校長</w:t>
      </w:r>
      <w:r>
        <w:rPr>
          <w:rStyle w:val="Style14"/>
          <w:rFonts w:eastAsia="標楷體" w:ascii="標楷體" w:hAnsi="標楷體"/>
          <w:color w:val="000000"/>
          <w:sz w:val="22"/>
          <w:szCs w:val="22"/>
        </w:rPr>
        <w:t>/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園長覆核。年終考核紀錄相關資料應審慎保管，永久留存。</w:t>
      </w:r>
    </w:p>
    <w:p>
      <w:pPr>
        <w:pStyle w:val="Style17"/>
        <w:spacing w:lineRule="exact" w:line="320"/>
        <w:rPr>
          <w:rFonts w:ascii="標楷體" w:hAnsi="標楷體" w:eastAsia="標楷體"/>
          <w:color w:val="000000"/>
          <w:sz w:val="22"/>
          <w:szCs w:val="22"/>
        </w:rPr>
      </w:pPr>
      <w:r>
        <w:rPr>
          <w:rFonts w:eastAsia="標楷體" w:ascii="標楷體" w:hAnsi="標楷體"/>
          <w:color w:val="000000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567" w:top="851" w:footer="0" w:bottom="851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left="0" w:right="200" w:hanging="0"/>
      <w:jc w:val="right"/>
      <w:rPr/>
    </w:pPr>
    <w:r>
      <w:rPr/>
      <w:t>110.</w:t>
    </w:r>
    <w:r>
      <w:rPr/>
      <w:t>3</w:t>
    </w:r>
    <w:r>
      <w:rPr/>
      <w:t>.2</w:t>
    </w:r>
    <w:r>
      <w:rPr/>
      <w:t>4</w:t>
    </w:r>
    <w:r>
      <w:rPr/>
      <w:t>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360" w:hanging="360"/>
      </w:pPr>
      <w:rPr>
        <w:sz w:val="22"/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bullet"/>
      <w:lvlText w:val=""/>
      <w:lvlJc w:val="left"/>
      <w:pPr>
        <w:ind w:left="6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1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0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qFormat/>
    <w:rPr>
      <w:kern w:val="2"/>
    </w:rPr>
  </w:style>
  <w:style w:type="character" w:styleId="WWCharLFO2LVL1">
    <w:name w:val="WW_CharLFO2LVL1"/>
    <w:qFormat/>
    <w:rPr>
      <w:rFonts w:cs="Times New Roman"/>
      <w:color w:val="auto"/>
      <w:sz w:val="22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LibreOffice/6.0.7.3$Windows_X86_64 LibreOffice_project/dc89aa7a9eabfd848af146d5086077aeed2ae4a5</Application>
  <Pages>3</Pages>
  <Words>1039</Words>
  <Characters>1089</Characters>
  <CharactersWithSpaces>1111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2021-03-10T07:09:00Z</dcterms:created>
  <dc:creator>如郁</dc:creator>
  <dc:description/>
  <dc:language>zh-TW</dc:language>
  <cp:lastModifiedBy/>
  <cp:lastPrinted>2018-07-16T06:40:00Z</cp:lastPrinted>
  <dcterms:modified xsi:type="dcterms:W3CDTF">2021-04-12T10:34:36Z</dcterms:modified>
  <cp:revision>8</cp:revision>
  <dc:subject/>
  <dc:title>（機關名稱）公務人員平時成績考核紀錄表</dc:title>
</cp:coreProperties>
</file>